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bookmarkStart w:id="0" w:name="_GoBack"/>
      <w:bookmarkEnd w:id="0"/>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C06768"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по вопросам</w:t>
      </w:r>
      <w:r w:rsidRPr="00CF54BC">
        <w:rPr>
          <w:rFonts w:ascii="Times New Roman" w:hAnsi="Times New Roman" w:cs="Times New Roman"/>
          <w:b/>
          <w:sz w:val="32"/>
          <w:szCs w:val="32"/>
        </w:rPr>
        <w:t xml:space="preserve"> противодействи</w:t>
      </w:r>
      <w:r w:rsidR="00F64A69" w:rsidRPr="00CF54BC">
        <w:rPr>
          <w:rFonts w:ascii="Times New Roman" w:hAnsi="Times New Roman" w:cs="Times New Roman"/>
          <w:b/>
          <w:sz w:val="32"/>
          <w:szCs w:val="32"/>
        </w:rPr>
        <w:t>я</w:t>
      </w:r>
      <w:r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00F64A69"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6A03DB">
              <w:rPr>
                <w:rFonts w:ascii="Times New Roman" w:hAnsi="Times New Roman" w:cs="Times New Roman"/>
                <w:noProof/>
                <w:webHidden/>
                <w:sz w:val="24"/>
              </w:rPr>
              <w:t>3</w:t>
            </w:r>
            <w:r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6A03DB">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6A03DB">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10</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10</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6A03DB">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13</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13</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16</w:t>
            </w:r>
            <w:r w:rsidR="006A2BA9" w:rsidRPr="00EF1A80">
              <w:rPr>
                <w:rFonts w:ascii="Times New Roman" w:hAnsi="Times New Roman" w:cs="Times New Roman"/>
                <w:noProof/>
                <w:webHidden/>
                <w:sz w:val="24"/>
              </w:rPr>
              <w:fldChar w:fldCharType="end"/>
            </w:r>
          </w:hyperlink>
        </w:p>
        <w:p w:rsidR="00474DC6" w:rsidRPr="00EF1A80" w:rsidRDefault="006A03DB">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18</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6A03DB">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22</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22</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6A03DB">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6A03DB">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28</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w:t>
      </w:r>
      <w:r w:rsidRPr="00CF54BC">
        <w:rPr>
          <w:rFonts w:ascii="Times New Roman" w:hAnsi="Times New Roman" w:cs="Times New Roman"/>
          <w:sz w:val="28"/>
          <w:szCs w:val="28"/>
        </w:rPr>
        <w:lastRenderedPageBreak/>
        <w:t xml:space="preserve">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w:t>
      </w:r>
      <w:r w:rsidRPr="00CF54BC">
        <w:rPr>
          <w:rFonts w:ascii="Times New Roman" w:hAnsi="Times New Roman" w:cs="Times New Roman"/>
          <w:sz w:val="28"/>
          <w:szCs w:val="28"/>
        </w:rPr>
        <w:lastRenderedPageBreak/>
        <w:t xml:space="preserve">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 xml:space="preserve">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w:t>
      </w:r>
      <w:r w:rsidR="006D77F1" w:rsidRPr="00CF54BC">
        <w:rPr>
          <w:rFonts w:ascii="Times New Roman" w:hAnsi="Times New Roman" w:cs="Times New Roman"/>
          <w:sz w:val="28"/>
          <w:szCs w:val="28"/>
        </w:rPr>
        <w:lastRenderedPageBreak/>
        <w:t>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w:t>
      </w:r>
      <w:r w:rsidRPr="00CF54BC">
        <w:rPr>
          <w:rFonts w:ascii="Times New Roman" w:hAnsi="Times New Roman" w:cs="Times New Roman"/>
          <w:sz w:val="28"/>
          <w:szCs w:val="28"/>
        </w:rPr>
        <w:lastRenderedPageBreak/>
        <w:t xml:space="preserve">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w:t>
      </w:r>
      <w:r w:rsidRPr="00CF54BC">
        <w:rPr>
          <w:rFonts w:ascii="Times New Roman" w:hAnsi="Times New Roman" w:cs="Times New Roman"/>
          <w:sz w:val="28"/>
          <w:szCs w:val="28"/>
        </w:rPr>
        <w:lastRenderedPageBreak/>
        <w:t xml:space="preserve">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r w:rsidRPr="00CF54BC">
        <w:rPr>
          <w:rFonts w:ascii="Times New Roman" w:hAnsi="Times New Roman" w:cs="Times New Roman"/>
          <w:color w:val="auto"/>
          <w:sz w:val="28"/>
          <w:szCs w:val="28"/>
        </w:rPr>
        <w:t>Псевдогосударство</w:t>
      </w:r>
      <w:bookmarkEnd w:id="12"/>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 xml:space="preserve">За 2 года войска ИГИЛ/ДАИШ захватили значительные территории Ирака и Сирии. Контролируемая террористическим халифатом территория достигает около 90 </w:t>
      </w:r>
      <w:r w:rsidR="00446806" w:rsidRPr="00CF54BC">
        <w:rPr>
          <w:rFonts w:ascii="Times New Roman" w:hAnsi="Times New Roman" w:cs="Times New Roman"/>
          <w:sz w:val="28"/>
          <w:szCs w:val="28"/>
        </w:rPr>
        <w:lastRenderedPageBreak/>
        <w:t>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r w:rsidRPr="00CF54BC">
        <w:rPr>
          <w:rFonts w:ascii="Times New Roman" w:hAnsi="Times New Roman" w:cs="Times New Roman"/>
          <w:color w:val="auto"/>
          <w:sz w:val="28"/>
          <w:szCs w:val="28"/>
        </w:rPr>
        <w:lastRenderedPageBreak/>
        <w:t>Псевдо</w:t>
      </w:r>
      <w:r w:rsidR="009C0C2B" w:rsidRPr="00CF54BC">
        <w:rPr>
          <w:rFonts w:ascii="Times New Roman" w:hAnsi="Times New Roman" w:cs="Times New Roman"/>
          <w:color w:val="auto"/>
          <w:sz w:val="28"/>
          <w:szCs w:val="28"/>
        </w:rPr>
        <w:t>ислам</w:t>
      </w:r>
      <w:bookmarkEnd w:id="13"/>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w:t>
      </w:r>
      <w:r w:rsidRPr="00CF54BC">
        <w:rPr>
          <w:rFonts w:ascii="Times New Roman" w:hAnsi="Times New Roman" w:cs="Times New Roman"/>
          <w:sz w:val="28"/>
          <w:szCs w:val="28"/>
        </w:rPr>
        <w:lastRenderedPageBreak/>
        <w:t xml:space="preserve">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w:t>
      </w:r>
      <w:r w:rsidRPr="00CF54BC">
        <w:rPr>
          <w:rFonts w:ascii="Times New Roman" w:hAnsi="Times New Roman" w:cs="Times New Roman"/>
          <w:sz w:val="28"/>
          <w:szCs w:val="28"/>
        </w:rPr>
        <w:lastRenderedPageBreak/>
        <w:t xml:space="preserve">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w:t>
      </w:r>
      <w:r w:rsidRPr="00CF54BC">
        <w:rPr>
          <w:rFonts w:ascii="Times New Roman" w:hAnsi="Times New Roman" w:cs="Times New Roman"/>
          <w:sz w:val="28"/>
          <w:szCs w:val="28"/>
        </w:rPr>
        <w:lastRenderedPageBreak/>
        <w:t>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w:t>
      </w:r>
      <w:r w:rsidR="00115CA2" w:rsidRPr="00CF54BC">
        <w:rPr>
          <w:rFonts w:ascii="Times New Roman" w:hAnsi="Times New Roman" w:cs="Times New Roman"/>
          <w:sz w:val="28"/>
          <w:szCs w:val="28"/>
        </w:rPr>
        <w:lastRenderedPageBreak/>
        <w:t xml:space="preserve">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окрепнет, вербуемого приглашают на встречу. Количество собеседников не играет особой роли, задача встречи – </w:t>
      </w:r>
      <w:r w:rsidRPr="00CF54BC">
        <w:rPr>
          <w:rFonts w:ascii="Times New Roman" w:hAnsi="Times New Roman" w:cs="Times New Roman"/>
          <w:sz w:val="28"/>
          <w:szCs w:val="28"/>
        </w:rPr>
        <w:lastRenderedPageBreak/>
        <w:t>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РОЛЬ ПЕДАГОГОВ И РОДИТЕЛЕЙ В ПРОФИЛАКТИКЕ ИНТЕРНЕТ-ВЕРБОВКИ</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 xml:space="preserve">готовят домашнее задание, дети отвечали, что «резались» в групповую игру, или </w:t>
      </w:r>
      <w:r w:rsidRPr="00CF54BC">
        <w:rPr>
          <w:rFonts w:ascii="Times New Roman" w:hAnsi="Times New Roman" w:cs="Times New Roman"/>
          <w:sz w:val="28"/>
          <w:szCs w:val="28"/>
        </w:rPr>
        <w:lastRenderedPageBreak/>
        <w:t>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 xml:space="preserve">на противодействие, а </w:t>
      </w:r>
      <w:r w:rsidRPr="00CF54BC">
        <w:rPr>
          <w:rFonts w:ascii="Times New Roman" w:hAnsi="Times New Roman" w:cs="Times New Roman"/>
          <w:sz w:val="28"/>
          <w:szCs w:val="28"/>
        </w:rPr>
        <w:lastRenderedPageBreak/>
        <w:t>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lastRenderedPageBreak/>
        <w:t xml:space="preserve">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lastRenderedPageBreak/>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w:t>
      </w:r>
      <w:r w:rsidRPr="00CF54BC">
        <w:rPr>
          <w:rFonts w:ascii="Times New Roman" w:hAnsi="Times New Roman" w:cs="Times New Roman"/>
          <w:sz w:val="28"/>
          <w:szCs w:val="28"/>
        </w:rPr>
        <w:lastRenderedPageBreak/>
        <w:t>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для защиты мирных граждан от потенциальной террористической угрозы. </w:t>
      </w:r>
      <w:r w:rsidR="00DE3C3E">
        <w:rPr>
          <w:rFonts w:ascii="Times New Roman" w:hAnsi="Times New Roman" w:cs="Times New Roman"/>
          <w:sz w:val="28"/>
          <w:szCs w:val="28"/>
        </w:rPr>
        <w:t>В</w:t>
      </w:r>
      <w:r w:rsidRPr="00CF54BC">
        <w:rPr>
          <w:rFonts w:ascii="Times New Roman" w:hAnsi="Times New Roman" w:cs="Times New Roman"/>
          <w:sz w:val="28"/>
          <w:szCs w:val="28"/>
        </w:rPr>
        <w:t xml:space="preserve"> субъе</w:t>
      </w:r>
      <w:r w:rsidR="00DE3C3E">
        <w:rPr>
          <w:rFonts w:ascii="Times New Roman" w:hAnsi="Times New Roman" w:cs="Times New Roman"/>
          <w:sz w:val="28"/>
          <w:szCs w:val="28"/>
        </w:rPr>
        <w:t xml:space="preserve">ктах Российской Федерации </w:t>
      </w:r>
      <w:r w:rsidRPr="00CF54BC">
        <w:rPr>
          <w:rFonts w:ascii="Times New Roman" w:hAnsi="Times New Roman" w:cs="Times New Roman"/>
          <w:sz w:val="28"/>
          <w:szCs w:val="28"/>
        </w:rPr>
        <w:t>созданы и функционируют Антитеррористическ</w:t>
      </w:r>
      <w:r w:rsidR="00DE3C3E">
        <w:rPr>
          <w:rFonts w:ascii="Times New Roman" w:hAnsi="Times New Roman" w:cs="Times New Roman"/>
          <w:sz w:val="28"/>
          <w:szCs w:val="28"/>
        </w:rPr>
        <w:t>ие</w:t>
      </w:r>
      <w:r w:rsidRPr="00CF54BC">
        <w:rPr>
          <w:rFonts w:ascii="Times New Roman" w:hAnsi="Times New Roman" w:cs="Times New Roman"/>
          <w:sz w:val="28"/>
          <w:szCs w:val="28"/>
        </w:rPr>
        <w:t xml:space="preserve"> комисси</w:t>
      </w:r>
      <w:r w:rsidR="00DE3C3E">
        <w:rPr>
          <w:rFonts w:ascii="Times New Roman" w:hAnsi="Times New Roman" w:cs="Times New Roman"/>
          <w:sz w:val="28"/>
          <w:szCs w:val="28"/>
        </w:rPr>
        <w:t>и</w:t>
      </w:r>
      <w:r w:rsidRPr="00CF54BC">
        <w:rPr>
          <w:rFonts w:ascii="Times New Roman" w:hAnsi="Times New Roman" w:cs="Times New Roman"/>
          <w:sz w:val="28"/>
          <w:szCs w:val="28"/>
        </w:rPr>
        <w:t xml:space="preserve"> </w:t>
      </w:r>
      <w:r w:rsidR="00DE3C3E">
        <w:rPr>
          <w:rFonts w:ascii="Times New Roman" w:hAnsi="Times New Roman" w:cs="Times New Roman"/>
          <w:sz w:val="28"/>
          <w:szCs w:val="28"/>
        </w:rPr>
        <w:t>(АТК) и о</w:t>
      </w:r>
      <w:r w:rsidRPr="00CF54BC">
        <w:rPr>
          <w:rFonts w:ascii="Times New Roman" w:hAnsi="Times New Roman" w:cs="Times New Roman"/>
          <w:sz w:val="28"/>
          <w:szCs w:val="28"/>
        </w:rPr>
        <w:t>перативны</w:t>
      </w:r>
      <w:r w:rsidR="00DE3C3E">
        <w:rPr>
          <w:rFonts w:ascii="Times New Roman" w:hAnsi="Times New Roman" w:cs="Times New Roman"/>
          <w:sz w:val="28"/>
          <w:szCs w:val="28"/>
        </w:rPr>
        <w:t>е</w:t>
      </w:r>
      <w:r w:rsidRPr="00CF54BC">
        <w:rPr>
          <w:rFonts w:ascii="Times New Roman" w:hAnsi="Times New Roman" w:cs="Times New Roman"/>
          <w:sz w:val="28"/>
          <w:szCs w:val="28"/>
        </w:rPr>
        <w:t xml:space="preserve"> штаб</w:t>
      </w:r>
      <w:r w:rsidR="00DE3C3E">
        <w:rPr>
          <w:rFonts w:ascii="Times New Roman" w:hAnsi="Times New Roman" w:cs="Times New Roman"/>
          <w:sz w:val="28"/>
          <w:szCs w:val="28"/>
        </w:rPr>
        <w:t xml:space="preserve">ы </w:t>
      </w:r>
      <w:r w:rsidRPr="00CF54BC">
        <w:rPr>
          <w:rFonts w:ascii="Times New Roman" w:hAnsi="Times New Roman" w:cs="Times New Roman"/>
          <w:sz w:val="28"/>
          <w:szCs w:val="28"/>
        </w:rPr>
        <w:t>(ОШ), в состав которых вошли представители органов государственной власти и руководители правоохранительных орг</w:t>
      </w:r>
      <w:r w:rsidR="00DE3C3E">
        <w:rPr>
          <w:rFonts w:ascii="Times New Roman" w:hAnsi="Times New Roman" w:cs="Times New Roman"/>
          <w:sz w:val="28"/>
          <w:szCs w:val="28"/>
        </w:rPr>
        <w:t>анов регионов</w:t>
      </w:r>
      <w:r w:rsidRPr="00CF54BC">
        <w:rPr>
          <w:rFonts w:ascii="Times New Roman" w:hAnsi="Times New Roman" w:cs="Times New Roman"/>
          <w:sz w:val="28"/>
          <w:szCs w:val="28"/>
        </w:rPr>
        <w:t xml:space="preserve">.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DE3C3E">
        <w:rPr>
          <w:rFonts w:ascii="Times New Roman" w:hAnsi="Times New Roman" w:cs="Times New Roman"/>
          <w:sz w:val="28"/>
          <w:szCs w:val="28"/>
        </w:rPr>
        <w:t>настоящее время</w:t>
      </w:r>
      <w:r w:rsidRPr="00CF54BC">
        <w:rPr>
          <w:rFonts w:ascii="Times New Roman" w:hAnsi="Times New Roman" w:cs="Times New Roman"/>
          <w:sz w:val="28"/>
          <w:szCs w:val="28"/>
        </w:rPr>
        <w:t xml:space="preserve"> идет постоянная целенаправленная работа по укреплению антитеррористической защищенности </w:t>
      </w:r>
      <w:r w:rsidR="00DE3C3E">
        <w:rPr>
          <w:rFonts w:ascii="Times New Roman" w:hAnsi="Times New Roman" w:cs="Times New Roman"/>
          <w:sz w:val="28"/>
          <w:szCs w:val="28"/>
        </w:rPr>
        <w:t xml:space="preserve">социальных объектов, объектов </w:t>
      </w:r>
      <w:r w:rsidRPr="00CF54BC">
        <w:rPr>
          <w:rFonts w:ascii="Times New Roman" w:hAnsi="Times New Roman" w:cs="Times New Roman"/>
          <w:sz w:val="28"/>
          <w:szCs w:val="28"/>
        </w:rPr>
        <w:t xml:space="preserve">жизнеобеспечения и массового пребывания граждан. В этом </w:t>
      </w:r>
      <w:r w:rsidRPr="00CF54BC">
        <w:rPr>
          <w:rFonts w:ascii="Times New Roman" w:hAnsi="Times New Roman" w:cs="Times New Roman"/>
          <w:sz w:val="28"/>
          <w:szCs w:val="28"/>
        </w:rPr>
        <w:lastRenderedPageBreak/>
        <w:t>направлении очень важна деятельность антитеррористических комиссий</w:t>
      </w:r>
      <w:r w:rsidR="00DE3C3E">
        <w:rPr>
          <w:rFonts w:ascii="Times New Roman" w:hAnsi="Times New Roman" w:cs="Times New Roman"/>
          <w:sz w:val="28"/>
          <w:szCs w:val="28"/>
        </w:rPr>
        <w:t xml:space="preserve"> в муниципальных образованиях</w:t>
      </w:r>
      <w:r w:rsidRPr="00CF54BC">
        <w:rPr>
          <w:rFonts w:ascii="Times New Roman" w:hAnsi="Times New Roman" w:cs="Times New Roman"/>
          <w:sz w:val="28"/>
          <w:szCs w:val="28"/>
        </w:rPr>
        <w:t>,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5E" w:rsidRDefault="000D625E" w:rsidP="000648C1">
      <w:pPr>
        <w:spacing w:after="0" w:line="240" w:lineRule="auto"/>
      </w:pPr>
      <w:r>
        <w:separator/>
      </w:r>
    </w:p>
  </w:endnote>
  <w:endnote w:type="continuationSeparator" w:id="0">
    <w:p w:rsidR="000D625E" w:rsidRDefault="000D625E"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6A03DB">
          <w:rPr>
            <w:rFonts w:ascii="Times New Roman" w:hAnsi="Times New Roman" w:cs="Times New Roman"/>
            <w:noProof/>
          </w:rPr>
          <w:t>3</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5E" w:rsidRDefault="000D625E" w:rsidP="000648C1">
      <w:pPr>
        <w:spacing w:after="0" w:line="240" w:lineRule="auto"/>
      </w:pPr>
      <w:r>
        <w:separator/>
      </w:r>
    </w:p>
  </w:footnote>
  <w:footnote w:type="continuationSeparator" w:id="0">
    <w:p w:rsidR="000D625E" w:rsidRDefault="000D625E"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F"/>
    <w:rsid w:val="00001511"/>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D625E"/>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5EEB"/>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4695C"/>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3DB"/>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3C3E"/>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a.ru/articles/1036264406" TargetMode="External"/><Relationship Id="rId5" Type="http://schemas.openxmlformats.org/officeDocument/2006/relationships/settings" Target="settings.xml"/><Relationship Id="rId10" Type="http://schemas.openxmlformats.org/officeDocument/2006/relationships/hyperlink" Target="http://ruskline.ru/analitika/2016/03/03/russkie_musulmane" TargetMode="External"/><Relationship Id="rId4" Type="http://schemas.microsoft.com/office/2007/relationships/stylesWithEffects" Target="stylesWithEffect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9203-07B9-435E-86DD-7F8FAB9A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EnIgna</cp:lastModifiedBy>
  <cp:revision>3</cp:revision>
  <cp:lastPrinted>2018-10-22T07:22:00Z</cp:lastPrinted>
  <dcterms:created xsi:type="dcterms:W3CDTF">2018-06-13T08:16:00Z</dcterms:created>
  <dcterms:modified xsi:type="dcterms:W3CDTF">2018-10-22T07:22:00Z</dcterms:modified>
</cp:coreProperties>
</file>